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EFEF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EFEFE"/>
          <w:lang w:val="en-US" w:eastAsia="zh-CN" w:bidi="ar"/>
        </w:rPr>
        <w:t>焦作市住房和城乡建设局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EFEF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EFEFE"/>
          <w:lang w:val="en-US" w:eastAsia="zh-CN" w:bidi="ar"/>
        </w:rPr>
        <w:t>关于建立房屋和市政领域招标文件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b w:val="0"/>
          <w:bCs w:val="0"/>
          <w:i w:val="0"/>
          <w:iCs w:val="0"/>
          <w:caps w:val="0"/>
          <w:color w:val="auto"/>
          <w:spacing w:val="0"/>
          <w:kern w:val="0"/>
          <w:sz w:val="33"/>
          <w:szCs w:val="33"/>
          <w:shd w:val="clear" w:fill="FEFEF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EFEFE"/>
          <w:lang w:val="en-US" w:eastAsia="zh-CN" w:bidi="ar"/>
        </w:rPr>
        <w:t>公平竞争审查制度的通知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right="0" w:firstLine="660" w:firstLineChars="200"/>
        <w:jc w:val="both"/>
        <w:textAlignment w:val="auto"/>
        <w:rPr>
          <w:rFonts w:hint="eastAsia" w:ascii="微软雅黑" w:hAnsi="微软雅黑" w:eastAsia="微软雅黑" w:cs="微软雅黑"/>
          <w:b w:val="0"/>
          <w:bCs w:val="0"/>
          <w:i w:val="0"/>
          <w:iCs w:val="0"/>
          <w:caps w:val="0"/>
          <w:color w:val="auto"/>
          <w:spacing w:val="0"/>
          <w:kern w:val="0"/>
          <w:sz w:val="33"/>
          <w:szCs w:val="33"/>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ascii="Calibri" w:hAnsi="Calibri" w:cs="Calibri"/>
          <w:b w:val="0"/>
          <w:bCs w:val="0"/>
          <w:color w:val="auto"/>
          <w:sz w:val="21"/>
          <w:szCs w:val="21"/>
        </w:rPr>
      </w:pPr>
      <w:r>
        <w:rPr>
          <w:rFonts w:ascii="仿宋_GB2312" w:hAnsi="Calibri" w:eastAsia="仿宋_GB2312" w:cs="仿宋_GB2312"/>
          <w:b w:val="0"/>
          <w:bCs w:val="0"/>
          <w:i w:val="0"/>
          <w:iCs w:val="0"/>
          <w:caps w:val="0"/>
          <w:color w:val="auto"/>
          <w:spacing w:val="0"/>
          <w:kern w:val="0"/>
          <w:sz w:val="32"/>
          <w:szCs w:val="32"/>
          <w:shd w:val="clear" w:fill="FEFEFE"/>
          <w:lang w:val="en-US" w:eastAsia="zh-CN" w:bidi="ar"/>
        </w:rPr>
        <w:t>各县</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（市）</w:t>
      </w:r>
      <w:r>
        <w:rPr>
          <w:rFonts w:ascii="仿宋_GB2312" w:hAnsi="Calibri" w:eastAsia="仿宋_GB2312" w:cs="仿宋_GB2312"/>
          <w:b w:val="0"/>
          <w:bCs w:val="0"/>
          <w:i w:val="0"/>
          <w:iCs w:val="0"/>
          <w:caps w:val="0"/>
          <w:color w:val="auto"/>
          <w:spacing w:val="0"/>
          <w:kern w:val="0"/>
          <w:sz w:val="32"/>
          <w:szCs w:val="32"/>
          <w:shd w:val="clear" w:fill="FEFEFE"/>
          <w:lang w:val="en-US" w:eastAsia="zh-CN" w:bidi="ar"/>
        </w:rPr>
        <w:t>区</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住房城乡建设局</w:t>
      </w:r>
      <w:r>
        <w:rPr>
          <w:rFonts w:ascii="仿宋_GB2312" w:hAnsi="Calibri" w:eastAsia="仿宋_GB2312" w:cs="仿宋_GB2312"/>
          <w:b w:val="0"/>
          <w:bCs w:val="0"/>
          <w:i w:val="0"/>
          <w:iCs w:val="0"/>
          <w:caps w:val="0"/>
          <w:color w:val="auto"/>
          <w:spacing w:val="0"/>
          <w:kern w:val="0"/>
          <w:sz w:val="32"/>
          <w:szCs w:val="32"/>
          <w:shd w:val="clear" w:fill="FEFEFE"/>
          <w:lang w:val="en-US" w:eastAsia="zh-CN" w:bidi="ar"/>
        </w:rPr>
        <w:t>，</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高新区城乡建设服务中心，市直</w:t>
      </w:r>
      <w:r>
        <w:rPr>
          <w:rFonts w:ascii="仿宋_GB2312" w:hAnsi="Calibri" w:eastAsia="仿宋_GB2312" w:cs="仿宋_GB2312"/>
          <w:b w:val="0"/>
          <w:bCs w:val="0"/>
          <w:i w:val="0"/>
          <w:iCs w:val="0"/>
          <w:caps w:val="0"/>
          <w:color w:val="auto"/>
          <w:spacing w:val="0"/>
          <w:kern w:val="0"/>
          <w:sz w:val="32"/>
          <w:szCs w:val="32"/>
          <w:shd w:val="clear" w:fill="FEFEFE"/>
          <w:lang w:val="en-US" w:eastAsia="zh-CN" w:bidi="ar"/>
        </w:rPr>
        <w:t>有关</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部门，各相关单位</w:t>
      </w:r>
      <w:r>
        <w:rPr>
          <w:rFonts w:ascii="仿宋_GB2312" w:hAnsi="Calibri" w:eastAsia="仿宋_GB2312" w:cs="仿宋_GB2312"/>
          <w:b w:val="0"/>
          <w:bCs w:val="0"/>
          <w:i w:val="0"/>
          <w:iCs w:val="0"/>
          <w:caps w:val="0"/>
          <w:color w:val="auto"/>
          <w:spacing w:val="0"/>
          <w:kern w:val="0"/>
          <w:sz w:val="32"/>
          <w:szCs w:val="32"/>
          <w:shd w:val="clear" w:fill="FEFEF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b w:val="0"/>
          <w:bCs w:val="0"/>
          <w:color w:val="auto"/>
          <w:sz w:val="21"/>
          <w:szCs w:val="21"/>
        </w:rPr>
      </w:pP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为进一步优化我市招投标营商环境，推动落实招标人主体责任，促进工程招投标领域公平竞争，根据《公平竞争审查制度实施细则》(国市监反垄规〔2021〕2号)《国家发展改革委等部门关于严格执行招标投标法规制度进一步规范招标投标主体行为的若干意见》（发改法规规〔2022〕1117号）等文件精神，现就建立房屋和市政领域招标文件公平竞争审查制度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b w:val="0"/>
          <w:bCs w:val="0"/>
          <w:color w:val="auto"/>
          <w:sz w:val="21"/>
          <w:szCs w:val="21"/>
        </w:rPr>
      </w:pPr>
      <w:r>
        <w:rPr>
          <w:rFonts w:ascii="黑体" w:hAnsi="宋体" w:eastAsia="黑体" w:cs="黑体"/>
          <w:b w:val="0"/>
          <w:bCs w:val="0"/>
          <w:i w:val="0"/>
          <w:iCs w:val="0"/>
          <w:caps w:val="0"/>
          <w:color w:val="auto"/>
          <w:spacing w:val="0"/>
          <w:kern w:val="0"/>
          <w:sz w:val="32"/>
          <w:szCs w:val="32"/>
          <w:shd w:val="clear" w:fill="FEFEFE"/>
          <w:lang w:val="en-US" w:eastAsia="zh-CN" w:bidi="ar"/>
        </w:rPr>
        <w:t>一、审查实施范围。</w:t>
      </w: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全市范围内依法必须招标房屋和市政领域工程建设项目的招标文件（含招标公告、资格预审文件），须按本通知要求开展公平竞争审查。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b w:val="0"/>
          <w:bCs w:val="0"/>
          <w:color w:val="auto"/>
          <w:sz w:val="21"/>
          <w:szCs w:val="21"/>
        </w:rPr>
      </w:pPr>
      <w:r>
        <w:rPr>
          <w:rFonts w:hint="eastAsia" w:ascii="黑体" w:hAnsi="宋体" w:eastAsia="黑体" w:cs="黑体"/>
          <w:b w:val="0"/>
          <w:bCs w:val="0"/>
          <w:i w:val="0"/>
          <w:iCs w:val="0"/>
          <w:caps w:val="0"/>
          <w:color w:val="auto"/>
          <w:spacing w:val="0"/>
          <w:kern w:val="0"/>
          <w:sz w:val="32"/>
          <w:szCs w:val="32"/>
          <w:shd w:val="clear" w:fill="FEFEFE"/>
          <w:lang w:val="en-US" w:eastAsia="zh-CN" w:bidi="ar"/>
        </w:rPr>
        <w:t>二、审查方式内容。</w:t>
      </w: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招标人应当在招标文件发布前，依据相关法律法规和规范性文件，对招标文件进行公平竞争审查，可以咨询专家学者、法律顾问、专业机构或在公共资源交易平台征求社会公众意见建议，形成《招标文件公平竞争审查情况表》（见附件），并随项目招投标资料一并存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b w:val="0"/>
          <w:bCs w:val="0"/>
          <w:color w:val="auto"/>
          <w:sz w:val="21"/>
          <w:szCs w:val="21"/>
        </w:rPr>
      </w:pP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按照《公平竞争审查制度实施细则》（国市监反垄规〔2021〕2号）第十三条、第十四条等有关要求，招标人应组织对招标文件是否存在设置不合理或者歧视性的准入和退出条件，限定经营、购买、使用特定经营者提供的商品和服务，排斥或者限制外地经营者参加本地招标投标活动，排斥、限制或者强制外地经营者在本地投资或者设立分支机构，以不合理条件限制、排斥潜在投标人或者投标人等情形进行严格审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b w:val="0"/>
          <w:bCs w:val="0"/>
          <w:i w:val="0"/>
          <w:iCs w:val="0"/>
          <w:caps w:val="0"/>
          <w:color w:val="auto"/>
          <w:spacing w:val="0"/>
          <w:kern w:val="0"/>
          <w:sz w:val="32"/>
          <w:szCs w:val="32"/>
          <w:shd w:val="clear" w:fill="FEFEFE"/>
          <w:lang w:val="en-US" w:eastAsia="zh-CN" w:bidi="ar"/>
        </w:rPr>
      </w:pPr>
      <w:r>
        <w:rPr>
          <w:rFonts w:hint="eastAsia" w:ascii="黑体" w:hAnsi="宋体" w:eastAsia="黑体" w:cs="黑体"/>
          <w:b w:val="0"/>
          <w:bCs w:val="0"/>
          <w:i w:val="0"/>
          <w:iCs w:val="0"/>
          <w:caps w:val="0"/>
          <w:color w:val="auto"/>
          <w:spacing w:val="0"/>
          <w:kern w:val="0"/>
          <w:sz w:val="32"/>
          <w:szCs w:val="32"/>
          <w:shd w:val="clear" w:fill="FEFEFE"/>
          <w:lang w:val="en-US" w:eastAsia="zh-CN" w:bidi="ar"/>
        </w:rPr>
        <w:t>三、实行重大项目全过程服务机制。</w:t>
      </w:r>
      <w:r>
        <w:rPr>
          <w:rFonts w:hint="eastAsia" w:ascii="仿宋" w:hAnsi="仿宋" w:eastAsia="仿宋" w:cs="Times New Roman"/>
          <w:b w:val="0"/>
          <w:bCs w:val="0"/>
          <w:color w:val="auto"/>
          <w:sz w:val="32"/>
          <w:szCs w:val="32"/>
          <w:lang w:val="en-US" w:eastAsia="zh-CN"/>
        </w:rPr>
        <w:t>建立市级重大项目全过程服务体系，发挥政府（国有资金）对我市经济的正向拉动作用，将投资5000万元以上或跨辖区及其他社会公益性建筑工程、民生工程列入全过程服务名单。</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成立市级重大项目招投标公平性竞争审查专家委员会，负责市级重大项目招投标公平性竞争审查，确保满足招投标条件的本地企业不少于三家，建立统一的建筑业大市场，以便充分竞争。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b w:val="0"/>
          <w:bCs w:val="0"/>
          <w:i w:val="0"/>
          <w:iCs w:val="0"/>
          <w:caps w:val="0"/>
          <w:color w:val="auto"/>
          <w:spacing w:val="0"/>
          <w:kern w:val="0"/>
          <w:sz w:val="32"/>
          <w:szCs w:val="32"/>
          <w:shd w:val="clear" w:fill="FEFEFE"/>
          <w:lang w:val="en-US" w:eastAsia="zh-CN" w:bidi="ar"/>
        </w:rPr>
      </w:pPr>
      <w:r>
        <w:rPr>
          <w:rFonts w:hint="eastAsia" w:ascii="黑体" w:hAnsi="宋体" w:eastAsia="黑体" w:cs="黑体"/>
          <w:b w:val="0"/>
          <w:bCs w:val="0"/>
          <w:i w:val="0"/>
          <w:iCs w:val="0"/>
          <w:caps w:val="0"/>
          <w:color w:val="auto"/>
          <w:spacing w:val="0"/>
          <w:kern w:val="0"/>
          <w:sz w:val="32"/>
          <w:szCs w:val="32"/>
          <w:shd w:val="clear" w:fill="FEFEFE"/>
          <w:lang w:val="en-US" w:eastAsia="zh-CN" w:bidi="ar"/>
        </w:rPr>
        <w:t>四、强化监督检查。</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各级</w:t>
      </w: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招投标行政监督部门或行业主管部门要按照职责分工，将招标人落实</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招标文件</w:t>
      </w: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公平竞争审查工作情况作为事前监管的重要内容之一，在开展工程招投标领域“双随机、一公开”监管和重点监管时，对招标人落实公平竞争审查工作情况进行监督检查。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b w:val="0"/>
          <w:bCs w:val="0"/>
          <w:color w:val="auto"/>
          <w:sz w:val="21"/>
          <w:szCs w:val="21"/>
        </w:rPr>
      </w:pPr>
      <w:r>
        <w:rPr>
          <w:rFonts w:hint="eastAsia" w:ascii="黑体" w:hAnsi="宋体" w:eastAsia="黑体" w:cs="黑体"/>
          <w:b w:val="0"/>
          <w:bCs w:val="0"/>
          <w:i w:val="0"/>
          <w:iCs w:val="0"/>
          <w:caps w:val="0"/>
          <w:color w:val="auto"/>
          <w:spacing w:val="0"/>
          <w:kern w:val="0"/>
          <w:sz w:val="32"/>
          <w:szCs w:val="32"/>
          <w:shd w:val="clear" w:fill="FEFEFE"/>
          <w:lang w:val="en-US" w:eastAsia="zh-CN" w:bidi="ar"/>
        </w:rPr>
        <w:t>五、严肃追责问责。</w:t>
      </w: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对落实招标文件公平竞争审查制度工作不认真不负责，存在限制或变相限制市场准入、以不合理条件限制、排斥潜在投标人或投标人情形而影响市场公平竞争的，由招标人和其委托的招标代理机构分别承担主体责任或连带责任，</w:t>
      </w:r>
      <w:r>
        <w:rPr>
          <w:rFonts w:hint="eastAsia" w:ascii="仿宋_GB2312" w:hAnsi="Calibri" w:eastAsia="仿宋_GB2312" w:cs="仿宋_GB2312"/>
          <w:b w:val="0"/>
          <w:bCs w:val="0"/>
          <w:i w:val="0"/>
          <w:iCs w:val="0"/>
          <w:caps w:val="0"/>
          <w:color w:val="auto"/>
          <w:spacing w:val="0"/>
          <w:kern w:val="0"/>
          <w:sz w:val="32"/>
          <w:szCs w:val="32"/>
          <w:shd w:val="clear" w:fill="FEFEFE"/>
          <w:lang w:val="en-US" w:eastAsia="zh-CN" w:bidi="ar"/>
        </w:rPr>
        <w:t>各级</w:t>
      </w:r>
      <w:r>
        <w:rPr>
          <w:rFonts w:hint="default" w:ascii="仿宋_GB2312" w:hAnsi="Calibri" w:eastAsia="仿宋_GB2312" w:cs="仿宋_GB2312"/>
          <w:b w:val="0"/>
          <w:bCs w:val="0"/>
          <w:i w:val="0"/>
          <w:iCs w:val="0"/>
          <w:caps w:val="0"/>
          <w:color w:val="auto"/>
          <w:spacing w:val="0"/>
          <w:kern w:val="0"/>
          <w:sz w:val="32"/>
          <w:szCs w:val="32"/>
          <w:shd w:val="clear" w:fill="FEFEFE"/>
          <w:lang w:val="en-US" w:eastAsia="zh-CN" w:bidi="ar"/>
        </w:rPr>
        <w:t>招投标行政监督部门应责令招标人或其招标代理机构限期整改，对拒不整改的运用“两书一函”和信用惩戒加强监管，情节严重的予以通报曝光并按照规定做好问题线索移交。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仿宋_GB2312" w:hAnsi="Calibri" w:eastAsia="仿宋_GB2312" w:cs="仿宋_GB2312"/>
          <w:i w:val="0"/>
          <w:iCs w:val="0"/>
          <w:caps w:val="0"/>
          <w:color w:val="000000"/>
          <w:spacing w:val="0"/>
          <w:kern w:val="0"/>
          <w:sz w:val="32"/>
          <w:szCs w:val="32"/>
          <w:shd w:val="clear" w:fill="FEFEFE"/>
          <w:lang w:val="en-US" w:eastAsia="zh-CN" w:bidi="ar"/>
        </w:rPr>
      </w:pPr>
      <w:r>
        <w:rPr>
          <w:rFonts w:hint="default" w:ascii="仿宋_GB2312" w:hAnsi="Calibri" w:eastAsia="仿宋_GB2312" w:cs="仿宋_GB2312"/>
          <w:i w:val="0"/>
          <w:iCs w:val="0"/>
          <w:caps w:val="0"/>
          <w:color w:val="000000"/>
          <w:spacing w:val="0"/>
          <w:kern w:val="0"/>
          <w:sz w:val="32"/>
          <w:szCs w:val="32"/>
          <w:shd w:val="clear" w:fill="FEFEFE"/>
          <w:lang w:val="en-US" w:eastAsia="zh-CN" w:bidi="ar"/>
        </w:rPr>
        <w:t>附件:</w:t>
      </w:r>
      <w:r>
        <w:rPr>
          <w:rFonts w:hint="eastAsia" w:ascii="仿宋_GB2312" w:hAnsi="Calibri" w:eastAsia="仿宋_GB2312" w:cs="仿宋_GB2312"/>
          <w:i w:val="0"/>
          <w:iCs w:val="0"/>
          <w:caps w:val="0"/>
          <w:color w:val="000000"/>
          <w:spacing w:val="0"/>
          <w:kern w:val="0"/>
          <w:sz w:val="32"/>
          <w:szCs w:val="32"/>
          <w:shd w:val="clear" w:fill="FEFEFE"/>
          <w:lang w:val="en-US" w:eastAsia="zh-CN" w:bidi="ar"/>
        </w:rPr>
        <w:t>1、房屋和市政领域</w:t>
      </w:r>
      <w:r>
        <w:rPr>
          <w:rFonts w:hint="default" w:ascii="仿宋_GB2312" w:hAnsi="Calibri" w:eastAsia="仿宋_GB2312" w:cs="仿宋_GB2312"/>
          <w:i w:val="0"/>
          <w:iCs w:val="0"/>
          <w:caps w:val="0"/>
          <w:color w:val="000000"/>
          <w:spacing w:val="0"/>
          <w:kern w:val="0"/>
          <w:sz w:val="32"/>
          <w:szCs w:val="32"/>
          <w:shd w:val="clear" w:fill="FEFEFE"/>
          <w:lang w:val="en-US" w:eastAsia="zh-CN" w:bidi="ar"/>
        </w:rPr>
        <w:t>招标文件公平竞争审查情况表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仿宋_GB2312" w:hAnsi="Calibri" w:eastAsia="仿宋_GB2312" w:cs="仿宋_GB2312"/>
          <w:i w:val="0"/>
          <w:iCs w:val="0"/>
          <w:caps w:val="0"/>
          <w:color w:val="000000"/>
          <w:spacing w:val="0"/>
          <w:kern w:val="0"/>
          <w:sz w:val="32"/>
          <w:szCs w:val="32"/>
          <w:shd w:val="clear" w:fill="FEFEFE"/>
          <w:lang w:val="en-US" w:eastAsia="zh-CN" w:bidi="ar"/>
        </w:rPr>
      </w:pPr>
      <w:r>
        <w:rPr>
          <w:rFonts w:hint="eastAsia" w:ascii="仿宋_GB2312" w:hAnsi="Calibri" w:eastAsia="仿宋_GB2312" w:cs="仿宋_GB2312"/>
          <w:i w:val="0"/>
          <w:iCs w:val="0"/>
          <w:caps w:val="0"/>
          <w:color w:val="000000"/>
          <w:spacing w:val="0"/>
          <w:kern w:val="0"/>
          <w:sz w:val="32"/>
          <w:szCs w:val="32"/>
          <w:shd w:val="clear" w:fill="FEFEFE"/>
          <w:lang w:val="en-US" w:eastAsia="zh-CN" w:bidi="ar"/>
        </w:rPr>
        <w:t xml:space="preserve">     2、焦作市重大项目招投标公平性竞争审查专家委员会组成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hint="default" w:ascii="仿宋_GB2312" w:hAnsi="Calibri" w:eastAsia="仿宋_GB2312" w:cs="仿宋_GB2312"/>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default" w:ascii="仿宋_GB2312" w:hAnsi="Calibri"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default" w:ascii="Calibri" w:hAnsi="Calibri" w:cs="Calibri"/>
          <w:sz w:val="21"/>
          <w:szCs w:val="21"/>
        </w:rPr>
      </w:pPr>
      <w:r>
        <w:rPr>
          <w:rFonts w:ascii="方正小标宋_GBK" w:hAnsi="方正小标宋_GBK" w:eastAsia="方正小标宋_GBK" w:cs="方正小标宋_GBK"/>
          <w:i w:val="0"/>
          <w:iCs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500"/>
        <w:jc w:val="both"/>
        <w:rPr>
          <w:rFonts w:hint="default" w:ascii="Calibri" w:hAnsi="Calibri" w:cs="Calibri"/>
          <w:sz w:val="21"/>
          <w:szCs w:val="21"/>
        </w:rPr>
      </w:pPr>
      <w:r>
        <w:rPr>
          <w:rFonts w:hint="default" w:ascii="方正小标宋_GBK" w:hAnsi="方正小标宋_GBK" w:eastAsia="方正小标宋_GBK" w:cs="方正小标宋_GBK"/>
          <w:i w:val="0"/>
          <w:iCs w:val="0"/>
          <w:caps w:val="0"/>
          <w:color w:val="000000"/>
          <w:spacing w:val="0"/>
          <w:kern w:val="0"/>
          <w:sz w:val="28"/>
          <w:szCs w:val="28"/>
          <w:shd w:val="clear" w:fill="FFFFFF"/>
          <w:lang w:val="en-US" w:eastAsia="zh-CN" w:bidi="ar"/>
        </w:rPr>
        <w:t> </w:t>
      </w:r>
      <w:r>
        <w:rPr>
          <w:rFonts w:hint="eastAsia" w:ascii="仿宋_GB2312" w:hAnsi="Calibri" w:eastAsia="仿宋_GB2312" w:cs="仿宋_GB2312"/>
          <w:i w:val="0"/>
          <w:iCs w:val="0"/>
          <w:caps w:val="0"/>
          <w:color w:val="000000"/>
          <w:spacing w:val="0"/>
          <w:kern w:val="0"/>
          <w:sz w:val="32"/>
          <w:szCs w:val="32"/>
          <w:shd w:val="clear" w:fill="FEFEFE"/>
          <w:lang w:val="en-US" w:eastAsia="zh-CN" w:bidi="ar"/>
        </w:rPr>
        <w:t>焦作市住房和城乡建设局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480"/>
        <w:jc w:val="left"/>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shd w:val="clear" w:fill="FFFFFF"/>
          <w:lang w:val="en-US" w:eastAsia="zh-CN" w:bidi="ar"/>
        </w:rPr>
        <w:t>202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4</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年</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9</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月10日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eastAsia" w:ascii="宋体" w:hAnsi="宋体" w:eastAsia="宋体" w:cs="宋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eastAsia" w:ascii="宋体" w:hAnsi="宋体" w:eastAsia="宋体" w:cs="宋体"/>
          <w:i w:val="0"/>
          <w:iCs w:val="0"/>
          <w:caps w:val="0"/>
          <w:color w:val="000000"/>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rFonts w:hint="eastAsia" w:ascii="宋体" w:hAnsi="宋体" w:eastAsia="宋体" w:cs="宋体"/>
          <w:sz w:val="36"/>
          <w:szCs w:val="36"/>
          <w:lang w:val="en-US"/>
        </w:rPr>
      </w:pPr>
      <w:r>
        <w:rPr>
          <w:rFonts w:hint="eastAsia" w:ascii="宋体" w:hAnsi="宋体" w:eastAsia="宋体" w:cs="宋体"/>
          <w:i w:val="0"/>
          <w:iCs w:val="0"/>
          <w:caps w:val="0"/>
          <w:color w:val="000000"/>
          <w:spacing w:val="0"/>
          <w:kern w:val="0"/>
          <w:sz w:val="36"/>
          <w:szCs w:val="36"/>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rFonts w:hint="default"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房屋和市政领域</w:t>
      </w:r>
      <w:r>
        <w:rPr>
          <w:rFonts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招标文件公平竞争</w:t>
      </w:r>
      <w:r>
        <w:rPr>
          <w:rFonts w:hint="default"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rFonts w:hint="default" w:ascii="Calibri" w:hAnsi="Calibri" w:cs="Calibri"/>
          <w:sz w:val="21"/>
          <w:szCs w:val="21"/>
        </w:rPr>
      </w:pPr>
      <w:r>
        <w:rPr>
          <w:rFonts w:hint="default"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情况表</w:t>
      </w:r>
    </w:p>
    <w:tbl>
      <w:tblPr>
        <w:tblStyle w:val="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49"/>
        <w:gridCol w:w="29"/>
        <w:gridCol w:w="4614"/>
        <w:gridCol w:w="17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02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项目名称</w:t>
            </w:r>
          </w:p>
        </w:tc>
        <w:tc>
          <w:tcPr>
            <w:tcW w:w="6495"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2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招标人</w:t>
            </w:r>
          </w:p>
        </w:tc>
        <w:tc>
          <w:tcPr>
            <w:tcW w:w="6495"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2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招标代理机构</w:t>
            </w:r>
          </w:p>
        </w:tc>
        <w:tc>
          <w:tcPr>
            <w:tcW w:w="6495"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8"/>
                <w:szCs w:val="28"/>
                <w:lang w:val="en-US" w:eastAsia="zh-CN" w:bidi="ar"/>
              </w:rPr>
              <w:t>招标文件公平竞争影响性条款</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审查结果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1.本次招标项目未按规定发布招标计划。</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2.设置限制、排斥不同所有制企业参与招投标的规定，以及虽然没有直接限制、排斥，但实质上起到变相限制、排斥效果的规定。</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3.限定潜在投标人或者投标人的所在地、所有制形式或者组织形式，对不同所有制投标人采取不同的资格审查标准。</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4.设定企业股东背景、年平均承接项目数量或者金额、从业人员、纳税额、营业场所面积等规模条件；设置超过项目实际需要的企业注册资本、资产总额、净资产规模、营业收入、利润、授信额度等财务指标。</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5.设定明显超出招标项目具体特点和实际需要的过高的资质资格、技术、商务条件或者业绩、奖项要求。</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6.将国家已经明令取消的资质资格作为投标条件、加分条件、中标条件；在国家已经明令取消资质资格的领域，将其他资质资格作为投标条件、加分条件、中标条件；将外地企业与本地企业组成联合体作为投标条件、加分条件、中标条件。</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7.将特定行政区域、特定行业的业绩、奖项作为投标条件、加分条件、中标条件；将政府部门、行业协会商会或者其他机构对投标人作出的荣誉奖励和慈善公益证明等作为投标条件、中标条件。</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8.套用特定生产供应者的条件设定投标人资格、技术、商务条件。</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9.限定或者指定特定的专利、商标、品牌、原产地、 供应商或者检验检测认证机构（法律法规有明确要求的除外）。</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10.要求投标人在本地注册设立子公司、分公司、分支机构，在本地拥有一定办公面积，在本地缴纳社会保险、纳税等。</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11.简单以注册人员、业绩数量等规模条件或者特定行政区域的业绩奖项评价企业的信用等级，或者设置对不同所有制企业构成歧视的信用评价指标。</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76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12.其他不合理限制和壁垒。</w:t>
            </w:r>
          </w:p>
        </w:tc>
        <w:tc>
          <w:tcPr>
            <w:tcW w:w="174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其他需要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说明的情况</w:t>
            </w:r>
          </w:p>
        </w:tc>
        <w:tc>
          <w:tcPr>
            <w:tcW w:w="6510" w:type="dxa"/>
            <w:gridSpan w:val="3"/>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审查结论</w:t>
            </w:r>
          </w:p>
        </w:tc>
        <w:tc>
          <w:tcPr>
            <w:tcW w:w="6510" w:type="dxa"/>
            <w:gridSpan w:val="3"/>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招标代理机构主要负责人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意见</w:t>
            </w:r>
          </w:p>
        </w:tc>
        <w:tc>
          <w:tcPr>
            <w:tcW w:w="6510" w:type="dxa"/>
            <w:gridSpan w:val="3"/>
            <w:tcBorders>
              <w:top w:val="single" w:color="000000" w:sz="6" w:space="0"/>
              <w:left w:val="single" w:color="000000" w:sz="6" w:space="0"/>
              <w:bottom w:val="single" w:color="000000" w:sz="6" w:space="0"/>
              <w:right w:val="single" w:color="000000" w:sz="6"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签字： </w:t>
            </w:r>
            <w:r>
              <w:rPr>
                <w:rFonts w:ascii="font-size:14pt;" w:hAnsi="font-size:14pt;" w:eastAsia="font-size:14pt;" w:cs="font-size:14pt;"/>
                <w:kern w:val="0"/>
                <w:sz w:val="21"/>
                <w:szCs w:val="21"/>
                <w:lang w:val="en-US" w:eastAsia="zh-CN" w:bidi="ar"/>
              </w:rPr>
              <w:t>               </w:t>
            </w:r>
            <w:r>
              <w:rPr>
                <w:rFonts w:hint="default" w:ascii="仿宋_GB2312" w:hAnsi="Calibri" w:eastAsia="仿宋_GB2312" w:cs="仿宋_GB2312"/>
                <w:kern w:val="0"/>
                <w:sz w:val="28"/>
                <w:szCs w:val="28"/>
                <w:lang w:val="en-US" w:eastAsia="zh-CN" w:bidi="ar"/>
              </w:rPr>
              <w:t>日期：</w:t>
            </w:r>
            <w:r>
              <w:rPr>
                <w:rFonts w:hint="default" w:ascii="font-size:14pt;" w:hAnsi="font-size:14pt;" w:eastAsia="font-size:14pt;" w:cs="font-size:14pt;"/>
                <w:kern w:val="0"/>
                <w:sz w:val="21"/>
                <w:szCs w:val="21"/>
                <w:lang w:val="en-US" w:eastAsia="zh-CN" w:bidi="ar"/>
              </w:rPr>
              <w:t>        </w:t>
            </w:r>
            <w:r>
              <w:rPr>
                <w:rFonts w:hint="default" w:ascii="仿宋_GB2312" w:hAnsi="Calibri" w:eastAsia="仿宋_GB2312" w:cs="仿宋_GB2312"/>
                <w:kern w:val="0"/>
                <w:sz w:val="28"/>
                <w:szCs w:val="28"/>
                <w:lang w:val="en-US" w:eastAsia="zh-CN" w:bidi="ar"/>
              </w:rPr>
              <w:t>   单位盖章：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9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招标人主要负责人意见</w:t>
            </w:r>
          </w:p>
        </w:tc>
        <w:tc>
          <w:tcPr>
            <w:tcW w:w="6510" w:type="dxa"/>
            <w:gridSpan w:val="3"/>
            <w:tcBorders>
              <w:top w:val="single" w:color="000000" w:sz="6" w:space="0"/>
              <w:left w:val="single" w:color="000000" w:sz="6" w:space="0"/>
              <w:bottom w:val="single" w:color="000000" w:sz="6" w:space="0"/>
              <w:right w:val="single" w:color="000000" w:sz="6"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签字： </w:t>
            </w:r>
            <w:r>
              <w:rPr>
                <w:rFonts w:hint="default" w:ascii="font-size:14pt;" w:hAnsi="font-size:14pt;" w:eastAsia="font-size:14pt;" w:cs="font-size:14pt;"/>
                <w:kern w:val="0"/>
                <w:sz w:val="21"/>
                <w:szCs w:val="21"/>
                <w:lang w:val="en-US" w:eastAsia="zh-CN" w:bidi="ar"/>
              </w:rPr>
              <w:t>               </w:t>
            </w:r>
            <w:r>
              <w:rPr>
                <w:rFonts w:hint="default" w:ascii="仿宋_GB2312" w:hAnsi="Calibri" w:eastAsia="仿宋_GB2312" w:cs="仿宋_GB2312"/>
                <w:kern w:val="0"/>
                <w:sz w:val="28"/>
                <w:szCs w:val="28"/>
                <w:lang w:val="en-US" w:eastAsia="zh-CN" w:bidi="ar"/>
              </w:rPr>
              <w:t>日期：</w:t>
            </w:r>
            <w:r>
              <w:rPr>
                <w:rFonts w:hint="default" w:ascii="font-size:14pt;" w:hAnsi="font-size:14pt;" w:eastAsia="font-size:14pt;" w:cs="font-size:14pt;"/>
                <w:kern w:val="0"/>
                <w:sz w:val="21"/>
                <w:szCs w:val="21"/>
                <w:lang w:val="en-US" w:eastAsia="zh-CN" w:bidi="ar"/>
              </w:rPr>
              <w:t>        </w:t>
            </w:r>
            <w:r>
              <w:rPr>
                <w:rFonts w:hint="default" w:ascii="仿宋_GB2312" w:hAnsi="Calibri" w:eastAsia="仿宋_GB2312" w:cs="仿宋_GB2312"/>
                <w:kern w:val="0"/>
                <w:sz w:val="28"/>
                <w:szCs w:val="28"/>
                <w:lang w:val="en-US" w:eastAsia="zh-CN" w:bidi="ar"/>
              </w:rPr>
              <w:t>   单位盖章：</w:t>
            </w:r>
          </w:p>
        </w:tc>
      </w:tr>
    </w:tbl>
    <w:p/>
    <w:p/>
    <w:p/>
    <w:p/>
    <w:p/>
    <w:p/>
    <w:p/>
    <w:p/>
    <w:p/>
    <w:p/>
    <w:p/>
    <w:p/>
    <w:p/>
    <w:p/>
    <w:p/>
    <w:p/>
    <w:p/>
    <w:p/>
    <w:p/>
    <w:p/>
    <w:p/>
    <w:p/>
    <w:p/>
    <w:p/>
    <w:p>
      <w:pPr>
        <w:rPr>
          <w:rFonts w:hint="eastAsia"/>
          <w:sz w:val="36"/>
          <w:szCs w:val="36"/>
          <w:lang w:eastAsia="zh-CN"/>
        </w:rPr>
      </w:pPr>
    </w:p>
    <w:p>
      <w:pPr>
        <w:rPr>
          <w:rFonts w:hint="eastAsia"/>
          <w:sz w:val="36"/>
          <w:szCs w:val="36"/>
          <w:lang w:eastAsia="zh-CN"/>
        </w:rPr>
      </w:pPr>
    </w:p>
    <w:p>
      <w:pPr>
        <w:rPr>
          <w:rFonts w:hint="eastAsia"/>
          <w:sz w:val="36"/>
          <w:szCs w:val="36"/>
          <w:lang w:val="en-US" w:eastAsia="zh-CN"/>
        </w:rPr>
      </w:pPr>
      <w:bookmarkStart w:id="0" w:name="_GoBack"/>
      <w:bookmarkEnd w:id="0"/>
      <w:r>
        <w:rPr>
          <w:rFonts w:hint="eastAsia"/>
          <w:sz w:val="36"/>
          <w:szCs w:val="36"/>
          <w:lang w:eastAsia="zh-CN"/>
        </w:rPr>
        <w:t>附件</w:t>
      </w:r>
      <w:r>
        <w:rPr>
          <w:rFonts w:hint="eastAsia"/>
          <w:sz w:val="36"/>
          <w:szCs w:val="36"/>
          <w:lang w:val="en-US" w:eastAsia="zh-CN"/>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黑体" w:hAnsi="黑体" w:eastAsia="黑体" w:cs="黑体"/>
          <w:i w:val="0"/>
          <w:iCs w:val="0"/>
          <w:caps w:val="0"/>
          <w:color w:val="000000"/>
          <w:spacing w:val="0"/>
          <w:kern w:val="0"/>
          <w:sz w:val="36"/>
          <w:szCs w:val="36"/>
          <w:shd w:val="clear" w:fill="FEFEFE"/>
          <w:lang w:val="en-US" w:eastAsia="zh-CN" w:bidi="ar"/>
        </w:rPr>
      </w:pPr>
      <w:r>
        <w:rPr>
          <w:rFonts w:hint="eastAsia" w:ascii="黑体" w:hAnsi="黑体" w:eastAsia="黑体" w:cs="黑体"/>
          <w:i w:val="0"/>
          <w:iCs w:val="0"/>
          <w:caps w:val="0"/>
          <w:color w:val="000000"/>
          <w:spacing w:val="0"/>
          <w:kern w:val="0"/>
          <w:sz w:val="36"/>
          <w:szCs w:val="36"/>
          <w:shd w:val="clear" w:fill="FEFEFE"/>
          <w:lang w:val="en-US" w:eastAsia="zh-CN" w:bidi="ar"/>
        </w:rPr>
        <w:t>焦作市重大项目招投标公平性竞争审查</w:t>
      </w:r>
    </w:p>
    <w:tbl>
      <w:tblPr>
        <w:tblStyle w:val="2"/>
        <w:tblpPr w:leftFromText="180" w:rightFromText="180" w:vertAnchor="text" w:horzAnchor="page" w:tblpX="2276" w:tblpY="709"/>
        <w:tblOverlap w:val="never"/>
        <w:tblW w:w="46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012"/>
        <w:gridCol w:w="2750"/>
        <w:gridCol w:w="1672"/>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职位</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职称、专业资格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吴冬云</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企管部副部长</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王静</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河南鑫安胜通建设有限公司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成本部负责人</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工程师、一级造价工程师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郭小俊</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河南省中原建设工程有限公司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经营部长</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邱宪威</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河南中安建设工程有限公司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经营部部长</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王永康</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河南中安建设工程有限公司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事业发展部部长</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孙燕</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河南水建建筑工程有限公司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经营部经理</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工程师、二级建造师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张玲</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河南青峰建设有限公司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招投标经理</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颜明</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宙宏建设集团有限公司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经理</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柳晓丽</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河南福信建设集团有限公司</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招投标经理</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工程师、二级建造师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宋德建</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焦作市招标投标协会</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会长</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周栓成</w:t>
            </w:r>
          </w:p>
        </w:tc>
        <w:tc>
          <w:tcPr>
            <w:tcW w:w="17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焦作市建筑业协会</w:t>
            </w:r>
          </w:p>
        </w:tc>
        <w:tc>
          <w:tcPr>
            <w:tcW w:w="10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会长</w:t>
            </w:r>
          </w:p>
        </w:tc>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高级工程师</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黑体" w:hAnsi="黑体" w:eastAsia="黑体" w:cs="黑体"/>
          <w:i w:val="0"/>
          <w:iCs w:val="0"/>
          <w:caps w:val="0"/>
          <w:color w:val="000000"/>
          <w:spacing w:val="0"/>
          <w:kern w:val="0"/>
          <w:sz w:val="36"/>
          <w:szCs w:val="36"/>
          <w:shd w:val="clear" w:fill="FEFEFE"/>
          <w:lang w:val="en-US" w:eastAsia="zh-CN" w:bidi="ar"/>
        </w:rPr>
      </w:pPr>
      <w:r>
        <w:rPr>
          <w:rFonts w:hint="eastAsia" w:ascii="黑体" w:hAnsi="黑体" w:eastAsia="黑体" w:cs="黑体"/>
          <w:i w:val="0"/>
          <w:iCs w:val="0"/>
          <w:caps w:val="0"/>
          <w:color w:val="000000"/>
          <w:spacing w:val="0"/>
          <w:kern w:val="0"/>
          <w:sz w:val="36"/>
          <w:szCs w:val="36"/>
          <w:shd w:val="clear" w:fill="FEFEFE"/>
          <w:lang w:val="en-US" w:eastAsia="zh-CN" w:bidi="ar"/>
        </w:rPr>
        <w:t>专家委员会组成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font-size:14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MjNkNzY5OWI2ODM4N2ZhNmY2ZmYxNDZkMzI2ZjgifQ=="/>
  </w:docVars>
  <w:rsids>
    <w:rsidRoot w:val="5F0270D3"/>
    <w:rsid w:val="02A55C85"/>
    <w:rsid w:val="0EDB32C2"/>
    <w:rsid w:val="2FB06B0E"/>
    <w:rsid w:val="304D2ECC"/>
    <w:rsid w:val="337D365C"/>
    <w:rsid w:val="34DD09E0"/>
    <w:rsid w:val="3D6B2BAD"/>
    <w:rsid w:val="42786A9F"/>
    <w:rsid w:val="5F0270D3"/>
    <w:rsid w:val="66124991"/>
    <w:rsid w:val="66A2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2027</Words>
  <Characters>2062</Characters>
  <Lines>0</Lines>
  <Paragraphs>0</Paragraphs>
  <TotalTime>9</TotalTime>
  <ScaleCrop>false</ScaleCrop>
  <LinksUpToDate>false</LinksUpToDate>
  <CharactersWithSpaces>2164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2024-09-18T03:13:00Z</dcterms:created>
  <dc:creator>Administrator</dc:creator>
  <cp:lastModifiedBy>李瑞良</cp:lastModifiedBy>
  <cp:lastPrinted>2024-09-18T09:02:42Z</cp:lastPrinted>
  <dcterms:modified xsi:type="dcterms:W3CDTF">2024-09-18T09:08:19Z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96F3D4A008E14E4A81FA23612D6E5906_11</vt:lpwstr>
  </property>
</Properties>
</file>